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tLeast"/>
        <w:ind w:firstLine="480"/>
        <w:jc w:val="center"/>
        <w:rPr>
          <w:color w:val="363636"/>
          <w:sz w:val="18"/>
          <w:szCs w:val="18"/>
        </w:rPr>
      </w:pPr>
      <w:r>
        <w:rPr>
          <w:rFonts w:hint="eastAsia"/>
          <w:b/>
          <w:bCs/>
          <w:color w:val="363636"/>
          <w:sz w:val="30"/>
          <w:szCs w:val="30"/>
        </w:rPr>
        <w:t>预制型橡胶跑道</w:t>
      </w:r>
      <w:r>
        <w:rPr>
          <w:rFonts w:ascii="Times New Roman" w:hAnsi="Times New Roman" w:cs="Times New Roman"/>
          <w:b/>
          <w:bCs/>
          <w:color w:val="363636"/>
          <w:sz w:val="30"/>
          <w:szCs w:val="30"/>
        </w:rPr>
        <w:t>施工工艺</w:t>
      </w:r>
    </w:p>
    <w:p>
      <w:pPr>
        <w:pStyle w:val="5"/>
        <w:shd w:val="clear" w:color="auto" w:fill="FFFFFF"/>
        <w:spacing w:before="0" w:beforeAutospacing="0" w:after="0" w:afterAutospacing="0" w:line="360" w:lineRule="atLeast"/>
        <w:ind w:firstLine="480"/>
        <w:rPr>
          <w:rFonts w:hint="eastAsia"/>
          <w:color w:val="363636"/>
          <w:sz w:val="18"/>
          <w:szCs w:val="18"/>
        </w:rPr>
      </w:pPr>
      <w:r>
        <w:rPr>
          <w:rFonts w:ascii="Times New Roman" w:hAnsi="Times New Roman" w:cs="Times New Roman"/>
          <w:color w:val="363636"/>
          <w:sz w:val="21"/>
          <w:szCs w:val="21"/>
        </w:rPr>
        <w:t>          </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b/>
          <w:bCs/>
          <w:color w:val="363636"/>
        </w:rPr>
        <w:t>完成</w:t>
      </w:r>
      <w:r>
        <w:rPr>
          <w:rFonts w:ascii="Times New Roman" w:hAnsi="Times New Roman" w:cs="Times New Roman"/>
          <w:b/>
          <w:bCs/>
          <w:color w:val="363636"/>
        </w:rPr>
        <w:t>铺装前确认</w:t>
      </w:r>
      <w:r>
        <w:rPr>
          <w:rFonts w:hint="eastAsia"/>
          <w:b/>
          <w:bCs/>
          <w:color w:val="363636"/>
        </w:rPr>
        <w:t>、</w:t>
      </w:r>
      <w:r>
        <w:rPr>
          <w:rFonts w:ascii="Times New Roman" w:hAnsi="Times New Roman" w:cs="Times New Roman"/>
          <w:b/>
          <w:bCs/>
          <w:color w:val="363636"/>
        </w:rPr>
        <w:t>准备工作</w:t>
      </w:r>
      <w:r>
        <w:rPr>
          <w:rFonts w:hint="eastAsia"/>
          <w:b/>
          <w:bCs/>
          <w:color w:val="363636"/>
        </w:rPr>
        <w:t>、基础质量要求等前期准备，接下来就是合成橡胶卷材的铺装。</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b/>
          <w:bCs/>
          <w:color w:val="363636"/>
        </w:rPr>
        <w:t> </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b/>
          <w:bCs/>
          <w:color w:val="363636"/>
        </w:rPr>
        <w:t>铺装流程介绍</w:t>
      </w:r>
    </w:p>
    <w:p>
      <w:pPr>
        <w:pStyle w:val="5"/>
        <w:shd w:val="clear" w:color="auto" w:fill="FFFFFF"/>
        <w:spacing w:before="0" w:beforeAutospacing="0" w:after="0" w:afterAutospacing="0" w:line="450" w:lineRule="atLeast"/>
        <w:ind w:firstLine="480"/>
        <w:rPr>
          <w:rFonts w:hint="eastAsia"/>
          <w:color w:val="363636"/>
          <w:sz w:val="18"/>
          <w:szCs w:val="18"/>
        </w:rPr>
      </w:pPr>
      <w:r>
        <w:rPr>
          <w:rFonts w:hint="eastAsia"/>
          <w:color w:val="363636"/>
          <w:sz w:val="21"/>
          <w:szCs w:val="21"/>
        </w:rPr>
        <w:t>1、</w:t>
      </w:r>
      <w:r>
        <w:rPr>
          <w:rFonts w:ascii="Times New Roman" w:hAnsi="Times New Roman" w:cs="Times New Roman"/>
          <w:color w:val="363636"/>
          <w:sz w:val="21"/>
          <w:szCs w:val="21"/>
        </w:rPr>
        <w:t>.</w:t>
      </w:r>
      <w:r>
        <w:rPr>
          <w:rFonts w:hint="eastAsia" w:cs="Times New Roman"/>
          <w:color w:val="363636"/>
          <w:sz w:val="21"/>
          <w:szCs w:val="21"/>
        </w:rPr>
        <w:t>施工流程</w:t>
      </w:r>
    </w:p>
    <w:p>
      <w:pPr>
        <w:pStyle w:val="5"/>
        <w:shd w:val="clear" w:color="auto" w:fill="FFFFFF"/>
        <w:spacing w:before="0" w:beforeAutospacing="0" w:after="0" w:afterAutospacing="0" w:line="450" w:lineRule="atLeast"/>
        <w:ind w:firstLine="480"/>
        <w:rPr>
          <w:rFonts w:hint="eastAsia"/>
          <w:color w:val="363636"/>
          <w:sz w:val="18"/>
          <w:szCs w:val="18"/>
        </w:rPr>
      </w:pPr>
      <w:r>
        <w:rPr>
          <w:rFonts w:hint="eastAsia"/>
          <w:color w:val="363636"/>
          <w:sz w:val="18"/>
          <w:szCs w:val="18"/>
        </w:rPr>
        <w:t> </w:t>
      </w:r>
    </w:p>
    <w:p>
      <w:pPr>
        <w:pStyle w:val="5"/>
        <w:shd w:val="clear" w:color="auto" w:fill="FFFFFF"/>
        <w:spacing w:before="0" w:beforeAutospacing="0" w:after="0" w:afterAutospacing="0" w:line="450" w:lineRule="atLeast"/>
        <w:ind w:firstLine="480"/>
        <w:rPr>
          <w:rFonts w:hint="eastAsia"/>
          <w:color w:val="363636"/>
          <w:sz w:val="18"/>
          <w:szCs w:val="18"/>
        </w:rPr>
      </w:pPr>
      <w:r>
        <w:rPr>
          <w:rFonts w:hint="eastAsia"/>
          <w:color w:val="363636"/>
          <w:sz w:val="21"/>
          <w:szCs w:val="21"/>
        </w:rPr>
        <w:t>       </w:t>
      </w:r>
      <w:r>
        <w:rPr>
          <w:color w:val="363636"/>
          <w:sz w:val="21"/>
          <w:szCs w:val="21"/>
        </w:rPr>
        <w:drawing>
          <wp:inline distT="0" distB="0" distL="0" distR="0">
            <wp:extent cx="4438650" cy="1524000"/>
            <wp:effectExtent l="19050" t="0" r="0" b="0"/>
            <wp:docPr id="1" name="图片 1" descr="http://www.huadongtrack.com/UpFile/201207/201207133427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huadongtrack.com/UpFile/201207/2012071334270321.jpg"/>
                    <pic:cNvPicPr>
                      <a:picLocks noChangeAspect="1" noChangeArrowheads="1"/>
                    </pic:cNvPicPr>
                  </pic:nvPicPr>
                  <pic:blipFill>
                    <a:blip r:embed="rId4" cstate="print"/>
                    <a:srcRect/>
                    <a:stretch>
                      <a:fillRect/>
                    </a:stretch>
                  </pic:blipFill>
                  <pic:spPr>
                    <a:xfrm>
                      <a:off x="0" y="0"/>
                      <a:ext cx="4438650" cy="1524000"/>
                    </a:xfrm>
                    <a:prstGeom prst="rect">
                      <a:avLst/>
                    </a:prstGeom>
                    <a:noFill/>
                    <a:ln w="9525">
                      <a:noFill/>
                      <a:miter lim="800000"/>
                      <a:headEnd/>
                      <a:tailEnd/>
                    </a:ln>
                  </pic:spPr>
                </pic:pic>
              </a:graphicData>
            </a:graphic>
          </wp:inline>
        </w:drawing>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18"/>
          <w:szCs w:val="18"/>
        </w:rPr>
        <w:t> </w:t>
      </w:r>
    </w:p>
    <w:p>
      <w:pPr>
        <w:pStyle w:val="5"/>
        <w:shd w:val="clear" w:color="auto" w:fill="FFFFFF"/>
        <w:spacing w:before="0" w:beforeAutospacing="0" w:after="0" w:afterAutospacing="0" w:line="360" w:lineRule="atLeast"/>
        <w:ind w:firstLine="480"/>
        <w:rPr>
          <w:rFonts w:hint="eastAsia"/>
          <w:color w:val="363636"/>
          <w:sz w:val="18"/>
          <w:szCs w:val="18"/>
        </w:rPr>
      </w:pPr>
      <w:r>
        <w:rPr>
          <w:rFonts w:ascii="Times New Roman" w:hAnsi="Times New Roman" w:cs="Times New Roman"/>
          <w:color w:val="363636"/>
          <w:sz w:val="21"/>
          <w:szCs w:val="21"/>
        </w:rPr>
        <w:t>步骤： 计 量→</w:t>
      </w:r>
      <w:r>
        <w:rPr>
          <w:rFonts w:hint="eastAsia" w:cs="Times New Roman"/>
          <w:color w:val="363636"/>
          <w:sz w:val="21"/>
          <w:szCs w:val="21"/>
        </w:rPr>
        <w:t>投 料</w:t>
      </w:r>
      <w:r>
        <w:rPr>
          <w:rFonts w:ascii="Times New Roman" w:hAnsi="Times New Roman" w:cs="Times New Roman"/>
          <w:color w:val="363636"/>
          <w:sz w:val="21"/>
          <w:szCs w:val="21"/>
        </w:rPr>
        <w:t>→</w:t>
      </w:r>
      <w:r>
        <w:rPr>
          <w:rFonts w:hint="eastAsia" w:cs="Times New Roman"/>
          <w:color w:val="363636"/>
          <w:sz w:val="21"/>
          <w:szCs w:val="21"/>
        </w:rPr>
        <w:t>搅 拌</w:t>
      </w:r>
      <w:r>
        <w:rPr>
          <w:rFonts w:ascii="Times New Roman" w:hAnsi="Times New Roman" w:cs="Times New Roman"/>
          <w:color w:val="363636"/>
          <w:sz w:val="21"/>
          <w:szCs w:val="21"/>
        </w:rPr>
        <w:t>→</w:t>
      </w:r>
      <w:r>
        <w:rPr>
          <w:rFonts w:hint="eastAsia" w:cs="Times New Roman"/>
          <w:color w:val="363636"/>
          <w:sz w:val="21"/>
          <w:szCs w:val="21"/>
        </w:rPr>
        <w:t>出 料</w:t>
      </w:r>
      <w:r>
        <w:rPr>
          <w:rFonts w:ascii="Times New Roman" w:hAnsi="Times New Roman" w:cs="Times New Roman"/>
          <w:color w:val="363636"/>
          <w:sz w:val="21"/>
          <w:szCs w:val="21"/>
        </w:rPr>
        <w:t>→</w:t>
      </w:r>
      <w:r>
        <w:rPr>
          <w:rFonts w:hint="eastAsia" w:cs="Times New Roman"/>
          <w:color w:val="363636"/>
          <w:sz w:val="21"/>
          <w:szCs w:val="21"/>
        </w:rPr>
        <w:t>运至工作面</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18"/>
          <w:szCs w:val="18"/>
        </w:rPr>
        <w:t> </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2、合成橡胶</w:t>
      </w:r>
      <w:r>
        <w:rPr>
          <w:rFonts w:ascii="Times New Roman" w:hAnsi="Times New Roman" w:cs="Times New Roman"/>
          <w:color w:val="363636"/>
          <w:sz w:val="21"/>
          <w:szCs w:val="21"/>
        </w:rPr>
        <w:t>跑道卷材铺装</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a、</w:t>
      </w:r>
      <w:r>
        <w:rPr>
          <w:rFonts w:ascii="Times New Roman" w:hAnsi="Times New Roman" w:cs="Times New Roman"/>
          <w:color w:val="363636"/>
          <w:sz w:val="21"/>
          <w:szCs w:val="21"/>
        </w:rPr>
        <w:t>铺装顺序：先直后弯、由远到近、从里到外，收口位置即退场位置；</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b、</w:t>
      </w:r>
      <w:r>
        <w:rPr>
          <w:rFonts w:ascii="Times New Roman" w:hAnsi="Times New Roman" w:cs="Times New Roman"/>
          <w:color w:val="363636"/>
          <w:sz w:val="21"/>
          <w:szCs w:val="21"/>
        </w:rPr>
        <w:t>确认当天需要完成的面积和区域；</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c、</w:t>
      </w:r>
      <w:r>
        <w:rPr>
          <w:rFonts w:ascii="Times New Roman" w:hAnsi="Times New Roman" w:cs="Times New Roman"/>
          <w:color w:val="363636"/>
          <w:sz w:val="21"/>
          <w:szCs w:val="21"/>
        </w:rPr>
        <w:t>用专用运输车把卷材运至铺贴工作面后展开并让其舒展至基本平直</w:t>
      </w:r>
      <w:r>
        <w:rPr>
          <w:rFonts w:hint="eastAsia"/>
          <w:color w:val="363636"/>
          <w:sz w:val="21"/>
          <w:szCs w:val="21"/>
        </w:rPr>
        <w:t>；</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d、</w:t>
      </w:r>
      <w:r>
        <w:rPr>
          <w:rFonts w:ascii="Times New Roman" w:hAnsi="Times New Roman" w:cs="Times New Roman"/>
          <w:color w:val="363636"/>
          <w:sz w:val="21"/>
          <w:szCs w:val="21"/>
        </w:rPr>
        <w:t>检查卷材的边沿有无损坏；</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e、</w:t>
      </w:r>
      <w:r>
        <w:rPr>
          <w:rFonts w:ascii="Times New Roman" w:hAnsi="Times New Roman" w:cs="Times New Roman"/>
          <w:color w:val="363636"/>
          <w:sz w:val="21"/>
          <w:szCs w:val="21"/>
        </w:rPr>
        <w:t>对准地面原有跑道道宽标志线，人力调整到位；</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f、</w:t>
      </w:r>
      <w:r>
        <w:rPr>
          <w:rFonts w:ascii="Times New Roman" w:hAnsi="Times New Roman" w:cs="Times New Roman"/>
          <w:color w:val="363636"/>
          <w:sz w:val="21"/>
          <w:szCs w:val="21"/>
        </w:rPr>
        <w:t>把与下一块跑道运来并重复以上步骤；</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g、</w:t>
      </w:r>
      <w:r>
        <w:rPr>
          <w:rFonts w:ascii="Times New Roman" w:hAnsi="Times New Roman" w:cs="Times New Roman"/>
          <w:color w:val="363636"/>
          <w:sz w:val="21"/>
          <w:szCs w:val="21"/>
        </w:rPr>
        <w:t>把两块卷材对接处切割整齐；</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h、</w:t>
      </w:r>
      <w:r>
        <w:rPr>
          <w:rFonts w:ascii="Times New Roman" w:hAnsi="Times New Roman" w:cs="Times New Roman"/>
          <w:color w:val="363636"/>
          <w:sz w:val="21"/>
          <w:szCs w:val="21"/>
        </w:rPr>
        <w:t>待两块卷材全部舒展平直后，把第一块卷材重新卷起；</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i、</w:t>
      </w:r>
      <w:r>
        <w:rPr>
          <w:rFonts w:ascii="Times New Roman" w:hAnsi="Times New Roman" w:cs="Times New Roman"/>
          <w:color w:val="363636"/>
          <w:sz w:val="21"/>
          <w:szCs w:val="21"/>
        </w:rPr>
        <w:t>把已搅拌好的PU</w:t>
      </w:r>
      <w:r>
        <w:rPr>
          <w:rFonts w:hint="eastAsia" w:cs="Times New Roman"/>
          <w:color w:val="363636"/>
          <w:sz w:val="21"/>
          <w:szCs w:val="21"/>
        </w:rPr>
        <w:t>粘接剂用专用带齿镘刀或刮板批刮到沥青基础上，（每平方米</w:t>
      </w:r>
      <w:r>
        <w:rPr>
          <w:rFonts w:ascii="Times New Roman" w:hAnsi="Times New Roman" w:cs="Times New Roman"/>
          <w:color w:val="363636"/>
          <w:sz w:val="21"/>
          <w:szCs w:val="21"/>
        </w:rPr>
        <w:t>PU</w:t>
      </w:r>
      <w:r>
        <w:rPr>
          <w:rFonts w:hint="eastAsia" w:cs="Times New Roman"/>
          <w:color w:val="363636"/>
          <w:sz w:val="21"/>
          <w:szCs w:val="21"/>
        </w:rPr>
        <w:t>粘接剂用量为</w:t>
      </w:r>
      <w:r>
        <w:rPr>
          <w:rFonts w:ascii="Times New Roman" w:hAnsi="Times New Roman" w:cs="Times New Roman"/>
          <w:color w:val="363636"/>
          <w:sz w:val="21"/>
          <w:szCs w:val="21"/>
        </w:rPr>
        <w:t>1.2kg</w:t>
      </w:r>
      <w:r>
        <w:rPr>
          <w:rFonts w:hint="eastAsia" w:cs="Times New Roman"/>
          <w:color w:val="363636"/>
          <w:sz w:val="21"/>
          <w:szCs w:val="21"/>
        </w:rPr>
        <w:t>）；</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j、</w:t>
      </w:r>
      <w:r>
        <w:rPr>
          <w:rFonts w:ascii="Times New Roman" w:hAnsi="Times New Roman" w:cs="Times New Roman"/>
          <w:color w:val="363636"/>
          <w:sz w:val="21"/>
          <w:szCs w:val="21"/>
        </w:rPr>
        <w:t>把卷材平直而准确地展开并使之铺贴在粘接剂面上；</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k、</w:t>
      </w:r>
      <w:r>
        <w:rPr>
          <w:rFonts w:ascii="Times New Roman" w:hAnsi="Times New Roman" w:cs="Times New Roman"/>
          <w:color w:val="363636"/>
          <w:sz w:val="21"/>
          <w:szCs w:val="21"/>
        </w:rPr>
        <w:t>两块卷材的接缝处尽量少留空隙，沿空隙处因挤压而上升的部分少量PU</w:t>
      </w:r>
      <w:r>
        <w:rPr>
          <w:rFonts w:hint="eastAsia" w:cs="Times New Roman"/>
          <w:color w:val="363636"/>
          <w:sz w:val="21"/>
          <w:szCs w:val="21"/>
        </w:rPr>
        <w:t>粘接剂自然解决了接缝处的密封和连接；</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l、</w:t>
      </w:r>
      <w:r>
        <w:rPr>
          <w:rFonts w:ascii="Times New Roman" w:hAnsi="Times New Roman" w:cs="Times New Roman"/>
          <w:color w:val="363636"/>
          <w:sz w:val="21"/>
          <w:szCs w:val="21"/>
        </w:rPr>
        <w:t>弯道处的卷材铺贴方法同上，但需人力调整拉伸卷材，使其边沿与道宽标志线重合，切勿随意裁剪；</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m、</w:t>
      </w:r>
      <w:r>
        <w:rPr>
          <w:rFonts w:ascii="Times New Roman" w:hAnsi="Times New Roman" w:cs="Times New Roman"/>
          <w:color w:val="363636"/>
          <w:sz w:val="21"/>
          <w:szCs w:val="21"/>
        </w:rPr>
        <w:t>卷材铺贴后由安装工人把事先灌好砂的密封帆布袋（每只约20kg</w:t>
      </w:r>
      <w:r>
        <w:rPr>
          <w:rFonts w:hint="eastAsia" w:cs="Times New Roman"/>
          <w:color w:val="363636"/>
          <w:sz w:val="21"/>
          <w:szCs w:val="21"/>
        </w:rPr>
        <w:t>）均匀压在卷材面上。（有利于胶水上升至卷材底部的凹巢并限制卷材的横向移动）；</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n、</w:t>
      </w:r>
      <w:r>
        <w:rPr>
          <w:rFonts w:ascii="Times New Roman" w:hAnsi="Times New Roman" w:cs="Times New Roman"/>
          <w:color w:val="363636"/>
          <w:sz w:val="21"/>
          <w:szCs w:val="21"/>
        </w:rPr>
        <w:t>特殊田赛、径赛项目或边角多余部分需按实际地面尺寸事先裁剪而不能边贴边裁</w:t>
      </w:r>
      <w:r>
        <w:rPr>
          <w:rFonts w:hint="eastAsia"/>
          <w:color w:val="363636"/>
          <w:sz w:val="21"/>
          <w:szCs w:val="21"/>
        </w:rPr>
        <w:t>；</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o、</w:t>
      </w:r>
      <w:r>
        <w:rPr>
          <w:rFonts w:ascii="Times New Roman" w:hAnsi="Times New Roman" w:cs="Times New Roman"/>
          <w:color w:val="363636"/>
          <w:sz w:val="21"/>
          <w:szCs w:val="21"/>
        </w:rPr>
        <w:t>辅助区和加厚区卷材铺贴</w:t>
      </w:r>
      <w:r>
        <w:rPr>
          <w:rFonts w:hint="eastAsia"/>
          <w:color w:val="363636"/>
          <w:sz w:val="21"/>
          <w:szCs w:val="21"/>
        </w:rPr>
        <w:t>；</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p、</w:t>
      </w:r>
      <w:r>
        <w:rPr>
          <w:rFonts w:ascii="Times New Roman" w:hAnsi="Times New Roman" w:cs="Times New Roman"/>
          <w:color w:val="363636"/>
          <w:sz w:val="21"/>
          <w:szCs w:val="21"/>
        </w:rPr>
        <w:t>常见的辅助区跑道厚度为9-10mm</w:t>
      </w:r>
      <w:r>
        <w:rPr>
          <w:rFonts w:hint="eastAsia" w:cs="Times New Roman"/>
          <w:color w:val="363636"/>
          <w:sz w:val="21"/>
          <w:szCs w:val="21"/>
        </w:rPr>
        <w:t>，加厚区厚度为</w:t>
      </w:r>
      <w:r>
        <w:rPr>
          <w:rFonts w:ascii="Times New Roman" w:hAnsi="Times New Roman" w:cs="Times New Roman"/>
          <w:color w:val="363636"/>
          <w:sz w:val="21"/>
          <w:szCs w:val="21"/>
        </w:rPr>
        <w:t>18-20mm</w:t>
      </w:r>
      <w:r>
        <w:rPr>
          <w:rFonts w:hint="eastAsia" w:cs="Times New Roman"/>
          <w:color w:val="363636"/>
          <w:sz w:val="21"/>
          <w:szCs w:val="21"/>
        </w:rPr>
        <w:t>，</w:t>
      </w:r>
      <w:r>
        <w:rPr>
          <w:rFonts w:ascii="Times New Roman" w:hAnsi="Times New Roman" w:cs="Times New Roman"/>
          <w:color w:val="363636"/>
          <w:sz w:val="21"/>
          <w:szCs w:val="21"/>
        </w:rPr>
        <w:t>IAAF</w:t>
      </w:r>
      <w:r>
        <w:rPr>
          <w:rFonts w:hint="eastAsia" w:cs="Times New Roman"/>
          <w:color w:val="363636"/>
          <w:sz w:val="21"/>
          <w:szCs w:val="21"/>
        </w:rPr>
        <w:t>《田径设施建设标准手册》允许主跑道和辅助区之间的色彩差异存在</w:t>
      </w:r>
      <w:r>
        <w:rPr>
          <w:rFonts w:hint="eastAsia"/>
          <w:color w:val="363636"/>
          <w:sz w:val="21"/>
          <w:szCs w:val="21"/>
        </w:rPr>
        <w:t>；</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q、</w:t>
      </w:r>
      <w:r>
        <w:rPr>
          <w:rFonts w:ascii="Times New Roman" w:hAnsi="Times New Roman" w:cs="Times New Roman"/>
          <w:color w:val="363636"/>
          <w:sz w:val="21"/>
          <w:szCs w:val="21"/>
        </w:rPr>
        <w:t>辅助区和加厚区卷材铺贴方法同主跑道区域；</w:t>
      </w:r>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olor w:val="363636"/>
          <w:sz w:val="21"/>
          <w:szCs w:val="21"/>
        </w:rPr>
        <w:t>r、</w:t>
      </w:r>
      <w:r>
        <w:rPr>
          <w:rFonts w:ascii="Times New Roman" w:hAnsi="Times New Roman" w:cs="Times New Roman"/>
          <w:color w:val="363636"/>
          <w:sz w:val="21"/>
          <w:szCs w:val="21"/>
        </w:rPr>
        <w:t>小面积和转角处以及宽度不足1.22m</w:t>
      </w:r>
      <w:r>
        <w:rPr>
          <w:rFonts w:hint="eastAsia" w:cs="Times New Roman"/>
          <w:color w:val="363636"/>
          <w:sz w:val="21"/>
          <w:szCs w:val="21"/>
        </w:rPr>
        <w:t>区域一定要按实际地面尺寸加以事先裁剪；</w:t>
      </w:r>
    </w:p>
    <w:p>
      <w:pPr>
        <w:pStyle w:val="5"/>
        <w:shd w:val="clear" w:color="auto" w:fill="FFFFFF"/>
        <w:spacing w:before="0" w:beforeAutospacing="0" w:after="0" w:afterAutospacing="0" w:line="360" w:lineRule="atLeast"/>
        <w:ind w:firstLine="480"/>
        <w:rPr>
          <w:rFonts w:hint="eastAsia" w:cs="Times New Roman"/>
          <w:color w:val="363636"/>
          <w:sz w:val="21"/>
          <w:szCs w:val="21"/>
        </w:rPr>
      </w:pPr>
      <w:r>
        <w:rPr>
          <w:rFonts w:hint="eastAsia"/>
          <w:color w:val="363636"/>
          <w:sz w:val="21"/>
          <w:szCs w:val="21"/>
        </w:rPr>
        <w:t>s、</w:t>
      </w:r>
      <w:r>
        <w:rPr>
          <w:rFonts w:ascii="Times New Roman" w:hAnsi="Times New Roman" w:cs="Times New Roman"/>
          <w:color w:val="363636"/>
          <w:sz w:val="21"/>
          <w:szCs w:val="21"/>
        </w:rPr>
        <w:t>卷材或PU</w:t>
      </w:r>
      <w:r>
        <w:rPr>
          <w:rFonts w:hint="eastAsia" w:cs="Times New Roman"/>
          <w:color w:val="363636"/>
          <w:sz w:val="21"/>
          <w:szCs w:val="21"/>
        </w:rPr>
        <w:t>粘接剂的用量不能减少；但在复杂区域因铺贴进度减缓而需相应减慢</w:t>
      </w:r>
      <w:r>
        <w:rPr>
          <w:rFonts w:ascii="Times New Roman" w:hAnsi="Times New Roman" w:cs="Times New Roman"/>
          <w:color w:val="363636"/>
          <w:sz w:val="21"/>
          <w:szCs w:val="21"/>
        </w:rPr>
        <w:t>PU</w:t>
      </w:r>
      <w:r>
        <w:rPr>
          <w:rFonts w:hint="eastAsia" w:cs="Times New Roman"/>
          <w:color w:val="363636"/>
          <w:sz w:val="21"/>
          <w:szCs w:val="21"/>
        </w:rPr>
        <w:t>粘接剂混合搅拌的速度，以防止粘接剂因超时而固化（</w:t>
      </w:r>
      <w:r>
        <w:rPr>
          <w:rFonts w:ascii="Times New Roman" w:hAnsi="Times New Roman" w:cs="Times New Roman"/>
          <w:color w:val="363636"/>
          <w:sz w:val="21"/>
          <w:szCs w:val="21"/>
        </w:rPr>
        <w:t>25</w:t>
      </w:r>
      <w:r>
        <w:rPr>
          <w:rFonts w:hint="eastAsia"/>
          <w:color w:val="363636"/>
          <w:sz w:val="21"/>
          <w:szCs w:val="21"/>
        </w:rPr>
        <w:t>℃</w:t>
      </w:r>
      <w:r>
        <w:rPr>
          <w:rFonts w:hint="eastAsia" w:cs="Times New Roman"/>
          <w:color w:val="363636"/>
          <w:sz w:val="21"/>
          <w:szCs w:val="21"/>
        </w:rPr>
        <w:t>气温条件下</w:t>
      </w:r>
      <w:r>
        <w:rPr>
          <w:rFonts w:ascii="Times New Roman" w:hAnsi="Times New Roman" w:cs="Times New Roman"/>
          <w:color w:val="363636"/>
          <w:sz w:val="21"/>
          <w:szCs w:val="21"/>
        </w:rPr>
        <w:t>PU</w:t>
      </w:r>
      <w:r>
        <w:rPr>
          <w:rFonts w:hint="eastAsia" w:cs="Times New Roman"/>
          <w:color w:val="363636"/>
          <w:sz w:val="21"/>
          <w:szCs w:val="21"/>
        </w:rPr>
        <w:t>胶表面指触固化时间在</w:t>
      </w:r>
      <w:r>
        <w:rPr>
          <w:rFonts w:ascii="Times New Roman" w:hAnsi="Times New Roman" w:cs="Times New Roman"/>
          <w:color w:val="363636"/>
          <w:sz w:val="21"/>
          <w:szCs w:val="21"/>
        </w:rPr>
        <w:t>1</w:t>
      </w:r>
      <w:r>
        <w:rPr>
          <w:rFonts w:hint="eastAsia" w:cs="Times New Roman"/>
          <w:color w:val="363636"/>
          <w:sz w:val="21"/>
          <w:szCs w:val="21"/>
        </w:rPr>
        <w:t>小时左右）。</w:t>
      </w:r>
      <w:bookmarkStart w:id="0" w:name="_GoBack"/>
      <w:bookmarkEnd w:id="0"/>
    </w:p>
    <w:p>
      <w:pPr>
        <w:pStyle w:val="5"/>
        <w:shd w:val="clear" w:color="auto" w:fill="FFFFFF"/>
        <w:spacing w:before="0" w:beforeAutospacing="0" w:after="0" w:afterAutospacing="0" w:line="360" w:lineRule="atLeast"/>
        <w:ind w:firstLine="480"/>
        <w:rPr>
          <w:rFonts w:hint="eastAsia"/>
          <w:color w:val="363636"/>
          <w:sz w:val="18"/>
          <w:szCs w:val="18"/>
        </w:rPr>
      </w:pPr>
      <w:r>
        <w:rPr>
          <w:rFonts w:hint="eastAsia" w:cs="Times New Roman"/>
          <w:color w:val="363636"/>
          <w:sz w:val="21"/>
          <w:szCs w:val="21"/>
        </w:rPr>
        <w:drawing>
          <wp:inline distT="0" distB="0" distL="114300" distR="114300">
            <wp:extent cx="5253990" cy="7959090"/>
            <wp:effectExtent l="0" t="0" r="3810" b="3810"/>
            <wp:docPr id="2" name="图片 2" descr="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16"/>
                    <pic:cNvPicPr>
                      <a:picLocks noChangeAspect="1"/>
                    </pic:cNvPicPr>
                  </pic:nvPicPr>
                  <pic:blipFill>
                    <a:blip r:embed="rId5"/>
                    <a:stretch>
                      <a:fillRect/>
                    </a:stretch>
                  </pic:blipFill>
                  <pic:spPr>
                    <a:xfrm>
                      <a:off x="0" y="0"/>
                      <a:ext cx="5253990" cy="7959090"/>
                    </a:xfrm>
                    <a:prstGeom prst="rect">
                      <a:avLst/>
                    </a:prstGeom>
                  </pic:spPr>
                </pic:pic>
              </a:graphicData>
            </a:graphic>
          </wp:inline>
        </w:drawing>
      </w:r>
      <w:r>
        <w:rPr>
          <w:rFonts w:hint="eastAsia" w:cs="Times New Roman"/>
          <w:color w:val="363636"/>
          <w:sz w:val="21"/>
          <w:szCs w:val="21"/>
        </w:rPr>
        <w:t> </w:t>
      </w:r>
    </w:p>
    <w:p>
      <w:pPr>
        <w:spacing w:line="220" w:lineRule="atLeast"/>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36E43"/>
    <w:rsid w:val="003D37D8"/>
    <w:rsid w:val="003F4FA8"/>
    <w:rsid w:val="00426133"/>
    <w:rsid w:val="004358AB"/>
    <w:rsid w:val="008B7726"/>
    <w:rsid w:val="00D31D50"/>
    <w:rsid w:val="2E0431B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pPr>
      <w:spacing w:after="0"/>
    </w:pPr>
    <w:rPr>
      <w:sz w:val="18"/>
      <w:szCs w:val="18"/>
    </w:rPr>
  </w:style>
  <w:style w:type="paragraph" w:customStyle="1" w:styleId="5">
    <w:name w:val="p0"/>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6">
    <w:name w:val="批注框文本 Char"/>
    <w:basedOn w:val="3"/>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Words>
  <Characters>724</Characters>
  <Lines>6</Lines>
  <Paragraphs>1</Paragraphs>
  <TotalTime>0</TotalTime>
  <ScaleCrop>false</ScaleCrop>
  <LinksUpToDate>false</LinksUpToDate>
  <CharactersWithSpaces>850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2016-04-15T07:11:26Z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